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5D27DB" w14:textId="77777777" w:rsidR="00B91DEE" w:rsidRPr="005C7806" w:rsidRDefault="00B91DEE" w:rsidP="00B91DEE">
      <w:pPr>
        <w:pStyle w:val="Caption"/>
      </w:pPr>
      <w:r>
        <w:t>Table S1</w:t>
      </w:r>
      <w:r w:rsidRPr="005C7806">
        <w:t>: Summary of circular bacteriocin gene clusters and their general distribution throughout the circular bacteriocin subfamilies. Not every circular bacteriocin cluster within each subfamily was predicted to contain each of the genes here, though generally this was the case.</w:t>
      </w:r>
    </w:p>
    <w:p w14:paraId="38CEE383" w14:textId="77777777" w:rsidR="00B91DEE" w:rsidRPr="005C7806" w:rsidRDefault="00B91DEE" w:rsidP="00B91DEE">
      <w:pPr>
        <w:rPr>
          <w:rFonts w:ascii="Arial" w:hAnsi="Arial" w:cs="Arial"/>
        </w:rPr>
      </w:pPr>
    </w:p>
    <w:p w14:paraId="73FAE217" w14:textId="77777777" w:rsidR="00B91DEE" w:rsidRPr="005C7806" w:rsidRDefault="00B91DEE" w:rsidP="00B91DEE">
      <w:pPr>
        <w:rPr>
          <w:rFonts w:ascii="Arial" w:hAnsi="Arial" w:cs="Arial"/>
        </w:rPr>
      </w:pPr>
    </w:p>
    <w:p w14:paraId="7AC093D3" w14:textId="77777777" w:rsidR="00B91DEE" w:rsidRPr="005C7806" w:rsidRDefault="00B91DEE" w:rsidP="00B91DEE">
      <w:pPr>
        <w:rPr>
          <w:rFonts w:ascii="Arial" w:hAnsi="Arial" w:cs="Arial"/>
        </w:rPr>
      </w:pPr>
    </w:p>
    <w:tbl>
      <w:tblPr>
        <w:tblStyle w:val="TableGrid"/>
        <w:tblpPr w:leftFromText="180" w:rightFromText="180" w:vertAnchor="text" w:horzAnchor="margin" w:tblpY="-92"/>
        <w:tblOverlap w:val="never"/>
        <w:tblW w:w="14061" w:type="dxa"/>
        <w:tblLook w:val="04A0" w:firstRow="1" w:lastRow="0" w:firstColumn="1" w:lastColumn="0" w:noHBand="0" w:noVBand="1"/>
      </w:tblPr>
      <w:tblGrid>
        <w:gridCol w:w="3097"/>
        <w:gridCol w:w="6814"/>
        <w:gridCol w:w="4150"/>
      </w:tblGrid>
      <w:tr w:rsidR="00B91DEE" w:rsidRPr="005C7806" w14:paraId="02AC9D22" w14:textId="77777777" w:rsidTr="00B91DEE">
        <w:trPr>
          <w:trHeight w:val="557"/>
        </w:trPr>
        <w:tc>
          <w:tcPr>
            <w:tcW w:w="3097" w:type="dxa"/>
            <w:shd w:val="clear" w:color="auto" w:fill="D9D9D9" w:themeFill="background1" w:themeFillShade="D9"/>
            <w:vAlign w:val="center"/>
          </w:tcPr>
          <w:p w14:paraId="48F3EF14" w14:textId="77777777" w:rsidR="00B91DEE" w:rsidRPr="005C7806" w:rsidRDefault="00B91DEE" w:rsidP="00B91DEE">
            <w:pPr>
              <w:jc w:val="center"/>
              <w:rPr>
                <w:rFonts w:ascii="Arial" w:hAnsi="Arial" w:cs="Arial"/>
                <w:b/>
                <w:sz w:val="20"/>
                <w:szCs w:val="20"/>
              </w:rPr>
            </w:pPr>
            <w:r w:rsidRPr="005C7806">
              <w:rPr>
                <w:rFonts w:ascii="Arial" w:hAnsi="Arial" w:cs="Arial"/>
                <w:b/>
                <w:sz w:val="20"/>
                <w:szCs w:val="20"/>
              </w:rPr>
              <w:t>Gene</w:t>
            </w:r>
          </w:p>
        </w:tc>
        <w:tc>
          <w:tcPr>
            <w:tcW w:w="6814" w:type="dxa"/>
            <w:shd w:val="clear" w:color="auto" w:fill="D9D9D9" w:themeFill="background1" w:themeFillShade="D9"/>
            <w:vAlign w:val="center"/>
          </w:tcPr>
          <w:p w14:paraId="51279B9F" w14:textId="77777777" w:rsidR="00B91DEE" w:rsidRPr="005C7806" w:rsidRDefault="00B91DEE" w:rsidP="00B91DEE">
            <w:pPr>
              <w:jc w:val="center"/>
              <w:rPr>
                <w:rFonts w:ascii="Arial" w:hAnsi="Arial" w:cs="Arial"/>
                <w:b/>
                <w:sz w:val="20"/>
                <w:szCs w:val="20"/>
              </w:rPr>
            </w:pPr>
            <w:r w:rsidRPr="005C7806">
              <w:rPr>
                <w:rFonts w:ascii="Arial" w:hAnsi="Arial" w:cs="Arial"/>
                <w:b/>
                <w:sz w:val="20"/>
                <w:szCs w:val="20"/>
              </w:rPr>
              <w:t>Predicted role</w:t>
            </w:r>
          </w:p>
        </w:tc>
        <w:tc>
          <w:tcPr>
            <w:tcW w:w="4150" w:type="dxa"/>
            <w:shd w:val="clear" w:color="auto" w:fill="D9D9D9" w:themeFill="background1" w:themeFillShade="D9"/>
            <w:vAlign w:val="center"/>
          </w:tcPr>
          <w:p w14:paraId="7789F5EE" w14:textId="77777777" w:rsidR="00B91DEE" w:rsidRPr="005C7806" w:rsidRDefault="00B91DEE" w:rsidP="00B91DEE">
            <w:pPr>
              <w:jc w:val="center"/>
              <w:rPr>
                <w:rFonts w:ascii="Arial" w:hAnsi="Arial" w:cs="Arial"/>
                <w:b/>
                <w:sz w:val="20"/>
                <w:szCs w:val="20"/>
              </w:rPr>
            </w:pPr>
            <w:r w:rsidRPr="005C7806">
              <w:rPr>
                <w:rFonts w:ascii="Arial" w:hAnsi="Arial" w:cs="Arial"/>
                <w:b/>
                <w:sz w:val="20"/>
                <w:szCs w:val="20"/>
              </w:rPr>
              <w:t>Subfamilies absent from</w:t>
            </w:r>
          </w:p>
        </w:tc>
      </w:tr>
      <w:tr w:rsidR="00B91DEE" w:rsidRPr="005C7806" w14:paraId="03796D68" w14:textId="77777777" w:rsidTr="00B91DEE">
        <w:trPr>
          <w:trHeight w:val="633"/>
        </w:trPr>
        <w:tc>
          <w:tcPr>
            <w:tcW w:w="3097" w:type="dxa"/>
            <w:vAlign w:val="center"/>
          </w:tcPr>
          <w:p w14:paraId="3314C398" w14:textId="77777777" w:rsidR="00B91DEE" w:rsidRPr="005C7806" w:rsidRDefault="00B91DEE" w:rsidP="00B91DEE">
            <w:pPr>
              <w:rPr>
                <w:rFonts w:ascii="Arial" w:hAnsi="Arial" w:cs="Arial"/>
                <w:sz w:val="20"/>
                <w:szCs w:val="20"/>
              </w:rPr>
            </w:pPr>
            <w:r w:rsidRPr="005C7806">
              <w:rPr>
                <w:rFonts w:ascii="Arial" w:hAnsi="Arial" w:cs="Arial"/>
                <w:sz w:val="20"/>
                <w:szCs w:val="20"/>
              </w:rPr>
              <w:t>Structural circular bacteriocin</w:t>
            </w:r>
          </w:p>
        </w:tc>
        <w:tc>
          <w:tcPr>
            <w:tcW w:w="6814" w:type="dxa"/>
            <w:vAlign w:val="center"/>
          </w:tcPr>
          <w:p w14:paraId="3EA0786F" w14:textId="77777777" w:rsidR="00B91DEE" w:rsidRPr="005C7806" w:rsidRDefault="00B91DEE" w:rsidP="00B91DEE">
            <w:pPr>
              <w:rPr>
                <w:rFonts w:ascii="Arial" w:hAnsi="Arial" w:cs="Arial"/>
                <w:sz w:val="20"/>
                <w:szCs w:val="20"/>
              </w:rPr>
            </w:pPr>
            <w:r w:rsidRPr="005C7806">
              <w:rPr>
                <w:rFonts w:ascii="Arial" w:hAnsi="Arial" w:cs="Arial"/>
                <w:sz w:val="20"/>
                <w:szCs w:val="20"/>
              </w:rPr>
              <w:t>Bacteriocin</w:t>
            </w:r>
          </w:p>
        </w:tc>
        <w:tc>
          <w:tcPr>
            <w:tcW w:w="4150" w:type="dxa"/>
            <w:vAlign w:val="center"/>
          </w:tcPr>
          <w:p w14:paraId="2D391F7B" w14:textId="77777777" w:rsidR="00B91DEE" w:rsidRPr="005C7806" w:rsidRDefault="00B91DEE" w:rsidP="00B91DEE">
            <w:pPr>
              <w:rPr>
                <w:rFonts w:ascii="Arial" w:hAnsi="Arial" w:cs="Arial"/>
                <w:sz w:val="20"/>
                <w:szCs w:val="20"/>
              </w:rPr>
            </w:pPr>
            <w:r w:rsidRPr="005C7806">
              <w:rPr>
                <w:rFonts w:ascii="Arial" w:hAnsi="Arial" w:cs="Arial"/>
                <w:sz w:val="20"/>
                <w:szCs w:val="20"/>
              </w:rPr>
              <w:t>None</w:t>
            </w:r>
          </w:p>
        </w:tc>
      </w:tr>
      <w:tr w:rsidR="00B91DEE" w:rsidRPr="005C7806" w14:paraId="38DFEEC3" w14:textId="77777777" w:rsidTr="00B91DEE">
        <w:trPr>
          <w:trHeight w:val="633"/>
        </w:trPr>
        <w:tc>
          <w:tcPr>
            <w:tcW w:w="3097" w:type="dxa"/>
            <w:vAlign w:val="center"/>
          </w:tcPr>
          <w:p w14:paraId="6466D957" w14:textId="77777777" w:rsidR="00B91DEE" w:rsidRPr="005C7806" w:rsidRDefault="00B91DEE" w:rsidP="00B91DEE">
            <w:pPr>
              <w:rPr>
                <w:rFonts w:ascii="Arial" w:hAnsi="Arial" w:cs="Arial"/>
                <w:sz w:val="20"/>
                <w:szCs w:val="20"/>
              </w:rPr>
            </w:pPr>
            <w:r w:rsidRPr="005C7806">
              <w:rPr>
                <w:rFonts w:ascii="Arial" w:hAnsi="Arial" w:cs="Arial"/>
                <w:sz w:val="20"/>
                <w:szCs w:val="20"/>
              </w:rPr>
              <w:t>Putative transmembrane protein/</w:t>
            </w:r>
            <w:proofErr w:type="spellStart"/>
            <w:r w:rsidRPr="005C7806">
              <w:rPr>
                <w:rFonts w:ascii="Arial" w:hAnsi="Arial" w:cs="Arial"/>
                <w:sz w:val="20"/>
                <w:szCs w:val="20"/>
              </w:rPr>
              <w:t>SpoIIM</w:t>
            </w:r>
            <w:proofErr w:type="spellEnd"/>
          </w:p>
        </w:tc>
        <w:tc>
          <w:tcPr>
            <w:tcW w:w="6814" w:type="dxa"/>
            <w:vAlign w:val="center"/>
          </w:tcPr>
          <w:p w14:paraId="58ACBF09" w14:textId="77777777" w:rsidR="00B91DEE" w:rsidRPr="005C7806" w:rsidRDefault="00B91DEE" w:rsidP="00B91DEE">
            <w:pPr>
              <w:rPr>
                <w:rFonts w:ascii="Arial" w:hAnsi="Arial" w:cs="Arial"/>
                <w:sz w:val="20"/>
                <w:szCs w:val="20"/>
              </w:rPr>
            </w:pPr>
            <w:r w:rsidRPr="005C7806">
              <w:rPr>
                <w:rFonts w:ascii="Arial" w:hAnsi="Arial" w:cs="Arial"/>
                <w:sz w:val="20"/>
                <w:szCs w:val="20"/>
              </w:rPr>
              <w:t xml:space="preserve">Transmembrane protein, possibly part of multicomponent ABC transporter </w:t>
            </w:r>
          </w:p>
        </w:tc>
        <w:tc>
          <w:tcPr>
            <w:tcW w:w="4150" w:type="dxa"/>
            <w:vAlign w:val="center"/>
          </w:tcPr>
          <w:p w14:paraId="7629B3B4" w14:textId="77777777" w:rsidR="00B91DEE" w:rsidRPr="005C7806" w:rsidRDefault="00B91DEE" w:rsidP="00B91DEE">
            <w:pPr>
              <w:rPr>
                <w:rFonts w:ascii="Arial" w:hAnsi="Arial" w:cs="Arial"/>
                <w:sz w:val="20"/>
                <w:szCs w:val="20"/>
              </w:rPr>
            </w:pPr>
            <w:r w:rsidRPr="005C7806">
              <w:rPr>
                <w:rFonts w:ascii="Arial" w:hAnsi="Arial" w:cs="Arial"/>
                <w:sz w:val="20"/>
                <w:szCs w:val="20"/>
              </w:rPr>
              <w:t>None</w:t>
            </w:r>
          </w:p>
        </w:tc>
      </w:tr>
      <w:tr w:rsidR="00B91DEE" w:rsidRPr="005C7806" w14:paraId="2836202E" w14:textId="77777777" w:rsidTr="00B91DEE">
        <w:trPr>
          <w:trHeight w:val="633"/>
        </w:trPr>
        <w:tc>
          <w:tcPr>
            <w:tcW w:w="3097" w:type="dxa"/>
            <w:vAlign w:val="center"/>
          </w:tcPr>
          <w:p w14:paraId="01D777C0" w14:textId="77777777" w:rsidR="00B91DEE" w:rsidRPr="005C7806" w:rsidRDefault="00B91DEE" w:rsidP="00B91DEE">
            <w:pPr>
              <w:rPr>
                <w:rFonts w:ascii="Arial" w:hAnsi="Arial" w:cs="Arial"/>
                <w:sz w:val="20"/>
                <w:szCs w:val="20"/>
              </w:rPr>
            </w:pPr>
            <w:r w:rsidRPr="005C7806">
              <w:rPr>
                <w:rFonts w:ascii="Arial" w:hAnsi="Arial" w:cs="Arial"/>
                <w:sz w:val="20"/>
                <w:szCs w:val="20"/>
              </w:rPr>
              <w:t>ABC transporter</w:t>
            </w:r>
          </w:p>
        </w:tc>
        <w:tc>
          <w:tcPr>
            <w:tcW w:w="6814" w:type="dxa"/>
            <w:vAlign w:val="center"/>
          </w:tcPr>
          <w:p w14:paraId="4219AA1C" w14:textId="77777777" w:rsidR="00B91DEE" w:rsidRPr="005C7806" w:rsidRDefault="00B91DEE" w:rsidP="00B91DEE">
            <w:pPr>
              <w:rPr>
                <w:rFonts w:ascii="Arial" w:hAnsi="Arial" w:cs="Arial"/>
                <w:sz w:val="20"/>
                <w:szCs w:val="20"/>
              </w:rPr>
            </w:pPr>
            <w:r w:rsidRPr="005C7806">
              <w:rPr>
                <w:rFonts w:ascii="Arial" w:hAnsi="Arial" w:cs="Arial"/>
                <w:sz w:val="20"/>
                <w:szCs w:val="20"/>
              </w:rPr>
              <w:t>Cleave signal peptide and export bacteriocin to periplasm/extracellular space</w:t>
            </w:r>
          </w:p>
        </w:tc>
        <w:tc>
          <w:tcPr>
            <w:tcW w:w="4150" w:type="dxa"/>
            <w:vAlign w:val="center"/>
          </w:tcPr>
          <w:p w14:paraId="6D9FD833" w14:textId="77777777" w:rsidR="00B91DEE" w:rsidRPr="005C7806" w:rsidRDefault="00B91DEE" w:rsidP="00B91DEE">
            <w:pPr>
              <w:rPr>
                <w:rFonts w:ascii="Arial" w:hAnsi="Arial" w:cs="Arial"/>
                <w:sz w:val="20"/>
                <w:szCs w:val="20"/>
              </w:rPr>
            </w:pPr>
            <w:r w:rsidRPr="005C7806">
              <w:rPr>
                <w:rFonts w:ascii="Arial" w:hAnsi="Arial" w:cs="Arial"/>
                <w:sz w:val="20"/>
                <w:szCs w:val="20"/>
              </w:rPr>
              <w:t>None</w:t>
            </w:r>
          </w:p>
        </w:tc>
      </w:tr>
      <w:tr w:rsidR="00B91DEE" w:rsidRPr="005C7806" w14:paraId="6B24038A" w14:textId="77777777" w:rsidTr="00B91DEE">
        <w:trPr>
          <w:trHeight w:val="633"/>
        </w:trPr>
        <w:tc>
          <w:tcPr>
            <w:tcW w:w="3097" w:type="dxa"/>
            <w:vAlign w:val="center"/>
          </w:tcPr>
          <w:p w14:paraId="3F7D3DBB" w14:textId="77777777" w:rsidR="00B91DEE" w:rsidRPr="005C7806" w:rsidRDefault="00B91DEE" w:rsidP="00B91DEE">
            <w:pPr>
              <w:rPr>
                <w:rFonts w:ascii="Arial" w:hAnsi="Arial" w:cs="Arial"/>
                <w:sz w:val="20"/>
                <w:szCs w:val="20"/>
              </w:rPr>
            </w:pPr>
            <w:r w:rsidRPr="005C7806">
              <w:rPr>
                <w:rFonts w:ascii="Arial" w:hAnsi="Arial" w:cs="Arial"/>
                <w:sz w:val="20"/>
                <w:szCs w:val="20"/>
              </w:rPr>
              <w:t>ABC-II/FtsX permease</w:t>
            </w:r>
          </w:p>
        </w:tc>
        <w:tc>
          <w:tcPr>
            <w:tcW w:w="6814" w:type="dxa"/>
            <w:vAlign w:val="center"/>
          </w:tcPr>
          <w:p w14:paraId="42B6118A" w14:textId="77777777" w:rsidR="00B91DEE" w:rsidRPr="005C7806" w:rsidRDefault="00B91DEE" w:rsidP="00B91DEE">
            <w:pPr>
              <w:rPr>
                <w:rFonts w:ascii="Arial" w:hAnsi="Arial" w:cs="Arial"/>
                <w:sz w:val="20"/>
                <w:szCs w:val="20"/>
              </w:rPr>
            </w:pPr>
            <w:r w:rsidRPr="005C7806">
              <w:rPr>
                <w:rFonts w:ascii="Arial" w:hAnsi="Arial" w:cs="Arial"/>
                <w:sz w:val="20"/>
                <w:szCs w:val="20"/>
              </w:rPr>
              <w:t>Possibly transport immunity protein</w:t>
            </w:r>
          </w:p>
        </w:tc>
        <w:tc>
          <w:tcPr>
            <w:tcW w:w="4150" w:type="dxa"/>
            <w:vAlign w:val="center"/>
          </w:tcPr>
          <w:p w14:paraId="5DCBB678" w14:textId="77777777" w:rsidR="00B91DEE" w:rsidRPr="005C7806" w:rsidRDefault="00B91DEE" w:rsidP="00B91DEE">
            <w:pPr>
              <w:rPr>
                <w:rFonts w:ascii="Arial" w:hAnsi="Arial" w:cs="Arial"/>
                <w:sz w:val="20"/>
                <w:szCs w:val="20"/>
              </w:rPr>
            </w:pPr>
            <w:r w:rsidRPr="005C7806">
              <w:rPr>
                <w:rFonts w:ascii="Arial" w:hAnsi="Arial" w:cs="Arial"/>
                <w:sz w:val="20"/>
                <w:szCs w:val="20"/>
              </w:rPr>
              <w:t xml:space="preserve">Enterocin-NKR-3B, </w:t>
            </w:r>
            <w:proofErr w:type="spellStart"/>
            <w:r w:rsidRPr="005C7806">
              <w:rPr>
                <w:rFonts w:ascii="Arial" w:hAnsi="Arial" w:cs="Arial"/>
                <w:sz w:val="20"/>
                <w:szCs w:val="20"/>
              </w:rPr>
              <w:t>amylocyclicin</w:t>
            </w:r>
            <w:proofErr w:type="spellEnd"/>
            <w:r w:rsidRPr="005C7806">
              <w:rPr>
                <w:rFonts w:ascii="Arial" w:hAnsi="Arial" w:cs="Arial"/>
                <w:sz w:val="20"/>
                <w:szCs w:val="20"/>
              </w:rPr>
              <w:t xml:space="preserve">, </w:t>
            </w:r>
            <w:proofErr w:type="spellStart"/>
            <w:r w:rsidRPr="005C7806">
              <w:rPr>
                <w:rFonts w:ascii="Arial" w:hAnsi="Arial" w:cs="Arial"/>
                <w:sz w:val="20"/>
                <w:szCs w:val="20"/>
              </w:rPr>
              <w:t>uberolysin</w:t>
            </w:r>
            <w:proofErr w:type="spellEnd"/>
            <w:r w:rsidRPr="005C7806">
              <w:rPr>
                <w:rFonts w:ascii="Arial" w:hAnsi="Arial" w:cs="Arial"/>
                <w:sz w:val="20"/>
                <w:szCs w:val="20"/>
              </w:rPr>
              <w:t xml:space="preserve">, </w:t>
            </w:r>
            <w:proofErr w:type="spellStart"/>
            <w:r w:rsidRPr="005C7806">
              <w:rPr>
                <w:rFonts w:ascii="Arial" w:hAnsi="Arial" w:cs="Arial"/>
                <w:sz w:val="20"/>
                <w:szCs w:val="20"/>
              </w:rPr>
              <w:t>carnocyclin</w:t>
            </w:r>
            <w:proofErr w:type="spellEnd"/>
          </w:p>
        </w:tc>
      </w:tr>
      <w:tr w:rsidR="00B91DEE" w:rsidRPr="005C7806" w14:paraId="1C5AFF8C" w14:textId="77777777" w:rsidTr="00B91DEE">
        <w:trPr>
          <w:trHeight w:val="633"/>
        </w:trPr>
        <w:tc>
          <w:tcPr>
            <w:tcW w:w="3097" w:type="dxa"/>
            <w:vAlign w:val="center"/>
          </w:tcPr>
          <w:p w14:paraId="5FA8BF30" w14:textId="77777777" w:rsidR="00B91DEE" w:rsidRPr="005C7806" w:rsidRDefault="00B91DEE" w:rsidP="00B91DEE">
            <w:pPr>
              <w:rPr>
                <w:rFonts w:ascii="Arial" w:hAnsi="Arial" w:cs="Arial"/>
                <w:sz w:val="20"/>
                <w:szCs w:val="20"/>
              </w:rPr>
            </w:pPr>
            <w:r w:rsidRPr="005C7806">
              <w:rPr>
                <w:rFonts w:ascii="Arial" w:hAnsi="Arial" w:cs="Arial"/>
                <w:sz w:val="20"/>
                <w:szCs w:val="20"/>
              </w:rPr>
              <w:t>Immunity protein</w:t>
            </w:r>
          </w:p>
        </w:tc>
        <w:tc>
          <w:tcPr>
            <w:tcW w:w="6814" w:type="dxa"/>
            <w:vAlign w:val="center"/>
          </w:tcPr>
          <w:p w14:paraId="67BB9097" w14:textId="77777777" w:rsidR="00B91DEE" w:rsidRPr="005C7806" w:rsidRDefault="00B91DEE" w:rsidP="00B91DEE">
            <w:pPr>
              <w:rPr>
                <w:rFonts w:ascii="Arial" w:hAnsi="Arial" w:cs="Arial"/>
                <w:sz w:val="20"/>
                <w:szCs w:val="20"/>
              </w:rPr>
            </w:pPr>
            <w:r w:rsidRPr="005C7806">
              <w:rPr>
                <w:rFonts w:ascii="Arial" w:hAnsi="Arial" w:cs="Arial"/>
                <w:sz w:val="20"/>
                <w:szCs w:val="20"/>
              </w:rPr>
              <w:t>Immunity against bacteriocin</w:t>
            </w:r>
          </w:p>
        </w:tc>
        <w:tc>
          <w:tcPr>
            <w:tcW w:w="4150" w:type="dxa"/>
            <w:vAlign w:val="center"/>
          </w:tcPr>
          <w:p w14:paraId="21A6F03C" w14:textId="77777777" w:rsidR="00B91DEE" w:rsidRPr="005C7806" w:rsidRDefault="00B91DEE" w:rsidP="00B91DEE">
            <w:pPr>
              <w:rPr>
                <w:rFonts w:ascii="Arial" w:hAnsi="Arial" w:cs="Arial"/>
                <w:sz w:val="20"/>
                <w:szCs w:val="20"/>
              </w:rPr>
            </w:pPr>
            <w:r w:rsidRPr="005C7806">
              <w:rPr>
                <w:rFonts w:ascii="Arial" w:hAnsi="Arial" w:cs="Arial"/>
                <w:sz w:val="20"/>
                <w:szCs w:val="20"/>
              </w:rPr>
              <w:t>None</w:t>
            </w:r>
          </w:p>
        </w:tc>
      </w:tr>
      <w:tr w:rsidR="00B91DEE" w:rsidRPr="005C7806" w14:paraId="28BD43EC" w14:textId="77777777" w:rsidTr="00B91DEE">
        <w:trPr>
          <w:trHeight w:val="633"/>
        </w:trPr>
        <w:tc>
          <w:tcPr>
            <w:tcW w:w="3097" w:type="dxa"/>
            <w:vAlign w:val="center"/>
          </w:tcPr>
          <w:p w14:paraId="6A0A57DA" w14:textId="77777777" w:rsidR="00B91DEE" w:rsidRPr="005C7806" w:rsidRDefault="00B91DEE" w:rsidP="00B91DEE">
            <w:pPr>
              <w:rPr>
                <w:rFonts w:ascii="Arial" w:hAnsi="Arial" w:cs="Arial"/>
                <w:sz w:val="20"/>
                <w:szCs w:val="20"/>
              </w:rPr>
            </w:pPr>
            <w:proofErr w:type="spellStart"/>
            <w:r w:rsidRPr="005C7806">
              <w:rPr>
                <w:rFonts w:ascii="Arial" w:hAnsi="Arial" w:cs="Arial"/>
                <w:sz w:val="20"/>
                <w:szCs w:val="20"/>
              </w:rPr>
              <w:t>HylD</w:t>
            </w:r>
            <w:proofErr w:type="spellEnd"/>
            <w:r w:rsidRPr="005C7806">
              <w:rPr>
                <w:rFonts w:ascii="Arial" w:hAnsi="Arial" w:cs="Arial"/>
                <w:sz w:val="20"/>
                <w:szCs w:val="20"/>
              </w:rPr>
              <w:t>/efflux RND transporters</w:t>
            </w:r>
          </w:p>
        </w:tc>
        <w:tc>
          <w:tcPr>
            <w:tcW w:w="6814" w:type="dxa"/>
            <w:vAlign w:val="center"/>
          </w:tcPr>
          <w:p w14:paraId="29D936AA" w14:textId="77777777" w:rsidR="00B91DEE" w:rsidRPr="005C7806" w:rsidRDefault="00B91DEE" w:rsidP="00B91DEE">
            <w:pPr>
              <w:rPr>
                <w:rFonts w:ascii="Arial" w:hAnsi="Arial" w:cs="Arial"/>
                <w:sz w:val="20"/>
                <w:szCs w:val="20"/>
              </w:rPr>
            </w:pPr>
            <w:r w:rsidRPr="005C7806">
              <w:rPr>
                <w:rFonts w:ascii="Arial" w:hAnsi="Arial" w:cs="Arial"/>
                <w:sz w:val="20"/>
                <w:szCs w:val="20"/>
              </w:rPr>
              <w:t>Possibly involved in transport of bacteriocin from periplasm to extracellular space or additional immunity</w:t>
            </w:r>
          </w:p>
        </w:tc>
        <w:tc>
          <w:tcPr>
            <w:tcW w:w="4150" w:type="dxa"/>
            <w:vAlign w:val="center"/>
          </w:tcPr>
          <w:p w14:paraId="0D12E3E3" w14:textId="77777777" w:rsidR="00B91DEE" w:rsidRPr="005C7806" w:rsidRDefault="00B91DEE" w:rsidP="00B91DEE">
            <w:pPr>
              <w:rPr>
                <w:rFonts w:ascii="Arial" w:hAnsi="Arial" w:cs="Arial"/>
                <w:sz w:val="20"/>
                <w:szCs w:val="20"/>
              </w:rPr>
            </w:pPr>
            <w:r w:rsidRPr="005C7806">
              <w:rPr>
                <w:rFonts w:ascii="Arial" w:hAnsi="Arial" w:cs="Arial"/>
                <w:sz w:val="20"/>
                <w:szCs w:val="20"/>
              </w:rPr>
              <w:t>Almost all, present only in few individual clusters within subfamilies</w:t>
            </w:r>
          </w:p>
        </w:tc>
      </w:tr>
    </w:tbl>
    <w:p w14:paraId="7FE38102" w14:textId="77777777" w:rsidR="00B91DEE" w:rsidRPr="005C7806" w:rsidRDefault="00B91DEE" w:rsidP="00B91DEE">
      <w:pPr>
        <w:rPr>
          <w:rFonts w:ascii="Arial" w:hAnsi="Arial" w:cs="Arial"/>
        </w:rPr>
      </w:pPr>
    </w:p>
    <w:p w14:paraId="55D9267B" w14:textId="77777777" w:rsidR="00B91DEE" w:rsidRPr="005C7806" w:rsidRDefault="00B91DEE" w:rsidP="00B91DEE">
      <w:pPr>
        <w:rPr>
          <w:rFonts w:ascii="Arial" w:hAnsi="Arial" w:cs="Arial"/>
        </w:rPr>
      </w:pPr>
    </w:p>
    <w:p w14:paraId="06A62729" w14:textId="77777777" w:rsidR="00963928" w:rsidRDefault="00963928">
      <w:bookmarkStart w:id="0" w:name="_GoBack"/>
      <w:bookmarkEnd w:id="0"/>
    </w:p>
    <w:sectPr w:rsidR="00963928" w:rsidSect="00B91DEE">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DEE"/>
    <w:rsid w:val="00720ED0"/>
    <w:rsid w:val="00726D5E"/>
    <w:rsid w:val="0077004D"/>
    <w:rsid w:val="00963928"/>
    <w:rsid w:val="00B91DE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8ABC6"/>
  <w15:chartTrackingRefBased/>
  <w15:docId w15:val="{879F2859-BF29-4719-9A57-9E8569F8C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91DEE"/>
  </w:style>
  <w:style w:type="paragraph" w:styleId="Heading1">
    <w:name w:val="heading 1"/>
    <w:basedOn w:val="Normal"/>
    <w:next w:val="Normal"/>
    <w:link w:val="Heading1Char"/>
    <w:uiPriority w:val="9"/>
    <w:qFormat/>
    <w:rsid w:val="00726D5E"/>
    <w:pPr>
      <w:keepNext/>
      <w:keepLines/>
      <w:spacing w:before="240" w:after="0"/>
      <w:outlineLvl w:val="0"/>
    </w:pPr>
    <w:rPr>
      <w:rFonts w:asciiTheme="majorHAnsi" w:eastAsiaTheme="majorEastAsia" w:hAnsiTheme="majorHAnsi" w:cstheme="majorBidi"/>
      <w:b/>
      <w:sz w:val="32"/>
      <w:szCs w:val="32"/>
    </w:rPr>
  </w:style>
  <w:style w:type="paragraph" w:styleId="Heading2">
    <w:name w:val="heading 2"/>
    <w:basedOn w:val="Normal"/>
    <w:next w:val="Normal"/>
    <w:link w:val="Heading2Char"/>
    <w:uiPriority w:val="9"/>
    <w:semiHidden/>
    <w:unhideWhenUsed/>
    <w:qFormat/>
    <w:rsid w:val="00720ED0"/>
    <w:pPr>
      <w:keepNext/>
      <w:keepLines/>
      <w:spacing w:before="40" w:after="0"/>
      <w:outlineLvl w:val="1"/>
    </w:pPr>
    <w:rPr>
      <w:rFonts w:asciiTheme="majorHAnsi" w:eastAsiaTheme="majorEastAsia" w:hAnsiTheme="majorHAnsi" w:cstheme="majorBidi"/>
      <w:b/>
      <w:sz w:val="26"/>
      <w:szCs w:val="26"/>
    </w:rPr>
  </w:style>
  <w:style w:type="paragraph" w:styleId="Heading3">
    <w:name w:val="heading 3"/>
    <w:basedOn w:val="Normal"/>
    <w:next w:val="Normal"/>
    <w:link w:val="Heading3Char"/>
    <w:autoRedefine/>
    <w:uiPriority w:val="9"/>
    <w:semiHidden/>
    <w:unhideWhenUsed/>
    <w:qFormat/>
    <w:rsid w:val="0077004D"/>
    <w:pPr>
      <w:keepNext/>
      <w:keepLines/>
      <w:spacing w:before="40" w:after="0"/>
      <w:outlineLvl w:val="2"/>
    </w:pPr>
    <w:rPr>
      <w:rFonts w:asciiTheme="majorHAnsi" w:eastAsiaTheme="majorEastAsia" w:hAnsiTheme="majorHAns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6D5E"/>
    <w:rPr>
      <w:rFonts w:asciiTheme="majorHAnsi" w:eastAsiaTheme="majorEastAsia" w:hAnsiTheme="majorHAnsi" w:cstheme="majorBidi"/>
      <w:b/>
      <w:sz w:val="32"/>
      <w:szCs w:val="32"/>
    </w:rPr>
  </w:style>
  <w:style w:type="paragraph" w:styleId="Title">
    <w:name w:val="Title"/>
    <w:basedOn w:val="Normal"/>
    <w:next w:val="Normal"/>
    <w:link w:val="TitleChar"/>
    <w:uiPriority w:val="10"/>
    <w:qFormat/>
    <w:rsid w:val="00726D5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6D5E"/>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semiHidden/>
    <w:rsid w:val="00720ED0"/>
    <w:rPr>
      <w:rFonts w:asciiTheme="majorHAnsi" w:eastAsiaTheme="majorEastAsia" w:hAnsiTheme="majorHAnsi" w:cstheme="majorBidi"/>
      <w:b/>
      <w:sz w:val="26"/>
      <w:szCs w:val="26"/>
    </w:rPr>
  </w:style>
  <w:style w:type="character" w:customStyle="1" w:styleId="Heading3Char">
    <w:name w:val="Heading 3 Char"/>
    <w:basedOn w:val="DefaultParagraphFont"/>
    <w:link w:val="Heading3"/>
    <w:uiPriority w:val="9"/>
    <w:semiHidden/>
    <w:rsid w:val="0077004D"/>
    <w:rPr>
      <w:rFonts w:asciiTheme="majorHAnsi" w:eastAsiaTheme="majorEastAsia" w:hAnsiTheme="majorHAnsi" w:cstheme="majorBidi"/>
      <w:b/>
      <w:sz w:val="24"/>
      <w:szCs w:val="24"/>
    </w:rPr>
  </w:style>
  <w:style w:type="paragraph" w:styleId="Caption">
    <w:name w:val="caption"/>
    <w:basedOn w:val="Normal"/>
    <w:next w:val="Normal"/>
    <w:autoRedefine/>
    <w:uiPriority w:val="35"/>
    <w:unhideWhenUsed/>
    <w:qFormat/>
    <w:rsid w:val="00B91DEE"/>
    <w:pPr>
      <w:keepNext/>
      <w:spacing w:after="200" w:line="240" w:lineRule="auto"/>
      <w:jc w:val="both"/>
    </w:pPr>
    <w:rPr>
      <w:rFonts w:ascii="Arial" w:hAnsi="Arial" w:cs="Arial"/>
      <w:iCs/>
    </w:rPr>
  </w:style>
  <w:style w:type="table" w:styleId="TableGrid">
    <w:name w:val="Table Grid"/>
    <w:basedOn w:val="TableNormal"/>
    <w:uiPriority w:val="39"/>
    <w:rsid w:val="00B91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145</Words>
  <Characters>829</Characters>
  <Application>Microsoft Office Word</Application>
  <DocSecurity>0</DocSecurity>
  <Lines>6</Lines>
  <Paragraphs>1</Paragraphs>
  <ScaleCrop>false</ScaleCrop>
  <Company/>
  <LinksUpToDate>false</LinksUpToDate>
  <CharactersWithSpaces>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Vezina</dc:creator>
  <cp:keywords/>
  <dc:description/>
  <cp:lastModifiedBy>Ben Vezina</cp:lastModifiedBy>
  <cp:revision>1</cp:revision>
  <dcterms:created xsi:type="dcterms:W3CDTF">2019-06-17T03:07:00Z</dcterms:created>
  <dcterms:modified xsi:type="dcterms:W3CDTF">2019-06-17T03:07:00Z</dcterms:modified>
</cp:coreProperties>
</file>